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7F4D" w:rsidRPr="006F758D" w:rsidRDefault="00477F4D" w:rsidP="00477F4D">
      <w:pPr>
        <w:jc w:val="center"/>
        <w:rPr>
          <w:rFonts w:ascii="Arial" w:eastAsia="微软雅黑" w:hAnsi="Arial" w:cs="Arial"/>
          <w:b/>
          <w:bCs/>
          <w:color w:val="2F5496" w:themeColor="accent1" w:themeShade="BF"/>
          <w:sz w:val="28"/>
          <w:szCs w:val="32"/>
        </w:rPr>
      </w:pPr>
      <w:r w:rsidRPr="006F758D">
        <w:rPr>
          <w:rFonts w:ascii="Arial" w:eastAsia="微软雅黑" w:hAnsi="Arial" w:cs="Arial"/>
          <w:b/>
          <w:bCs/>
          <w:color w:val="2F5496" w:themeColor="accent1" w:themeShade="BF"/>
          <w:sz w:val="28"/>
          <w:szCs w:val="32"/>
        </w:rPr>
        <w:t>Copyright Transfer Agreement</w:t>
      </w:r>
    </w:p>
    <w:p w:rsidR="00EC1837" w:rsidRPr="006F758D" w:rsidRDefault="00477F4D" w:rsidP="006F758D">
      <w:pPr>
        <w:jc w:val="center"/>
        <w:rPr>
          <w:rFonts w:ascii="Arial" w:eastAsia="微软雅黑" w:hAnsi="Arial" w:cs="Arial"/>
          <w:b/>
          <w:bCs/>
          <w:i/>
          <w:iCs/>
          <w:color w:val="2F5496" w:themeColor="accent1" w:themeShade="BF"/>
          <w:sz w:val="16"/>
          <w:szCs w:val="18"/>
        </w:rPr>
      </w:pPr>
      <w:r w:rsidRPr="006F758D">
        <w:rPr>
          <w:rFonts w:ascii="Arial" w:eastAsia="微软雅黑" w:hAnsi="Arial" w:cs="Arial"/>
          <w:b/>
          <w:bCs/>
          <w:i/>
          <w:iCs/>
          <w:color w:val="2F5496" w:themeColor="accent1" w:themeShade="BF"/>
          <w:sz w:val="16"/>
          <w:szCs w:val="18"/>
        </w:rPr>
        <w:t>Transactions of Nanjing University of Aeronautics &amp; Astronautics</w:t>
      </w:r>
    </w:p>
    <w:p w:rsidR="001B7F79" w:rsidRDefault="001B7F79" w:rsidP="001B7F79">
      <w:pPr>
        <w:spacing w:line="360" w:lineRule="auto"/>
        <w:rPr>
          <w:rFonts w:ascii="Arial" w:eastAsia="微软雅黑" w:hAnsi="Arial" w:cs="Arial"/>
          <w:b/>
          <w:bCs/>
        </w:rPr>
      </w:pPr>
    </w:p>
    <w:p w:rsidR="00477F4D" w:rsidRPr="006F758D" w:rsidRDefault="00477F4D" w:rsidP="001B7F79">
      <w:pPr>
        <w:spacing w:line="360" w:lineRule="auto"/>
        <w:rPr>
          <w:rFonts w:ascii="Arial" w:eastAsia="微软雅黑" w:hAnsi="Arial" w:cs="Arial"/>
        </w:rPr>
      </w:pPr>
      <w:r w:rsidRPr="006F758D">
        <w:rPr>
          <w:rFonts w:ascii="Arial" w:eastAsia="微软雅黑" w:hAnsi="Arial" w:cs="Arial"/>
          <w:b/>
          <w:bCs/>
        </w:rPr>
        <w:t>Article Title</w:t>
      </w:r>
      <w:r w:rsidRPr="006F758D">
        <w:rPr>
          <w:rFonts w:ascii="Arial" w:eastAsia="微软雅黑" w:hAnsi="Arial" w:cs="Arial"/>
        </w:rPr>
        <w:t>:</w:t>
      </w:r>
      <w:r w:rsidRPr="006F758D">
        <w:rPr>
          <w:rFonts w:ascii="Arial" w:eastAsia="微软雅黑" w:hAnsi="Arial" w:cs="Arial"/>
          <w:u w:val="single"/>
        </w:rPr>
        <w:t xml:space="preserve">                                                                   </w:t>
      </w:r>
    </w:p>
    <w:p w:rsidR="00477F4D" w:rsidRPr="006F758D" w:rsidRDefault="00477F4D" w:rsidP="006F758D">
      <w:pPr>
        <w:spacing w:line="360" w:lineRule="auto"/>
        <w:rPr>
          <w:rFonts w:ascii="Arial" w:eastAsia="微软雅黑" w:hAnsi="Arial" w:cs="Arial"/>
        </w:rPr>
      </w:pPr>
      <w:r w:rsidRPr="006F758D">
        <w:rPr>
          <w:rFonts w:ascii="Arial" w:eastAsia="微软雅黑" w:hAnsi="Arial" w:cs="Arial"/>
          <w:b/>
          <w:bCs/>
        </w:rPr>
        <w:t>Author(s)</w:t>
      </w:r>
      <w:r w:rsidRPr="006F758D">
        <w:rPr>
          <w:rFonts w:ascii="Arial" w:eastAsia="微软雅黑" w:hAnsi="Arial" w:cs="Arial"/>
        </w:rPr>
        <w:t>:</w:t>
      </w:r>
      <w:r w:rsidRPr="006F758D">
        <w:rPr>
          <w:rFonts w:ascii="Arial" w:eastAsia="微软雅黑" w:hAnsi="Arial" w:cs="Arial"/>
          <w:u w:val="single"/>
        </w:rPr>
        <w:t xml:space="preserve">                                                                     </w:t>
      </w:r>
    </w:p>
    <w:p w:rsidR="00477F4D" w:rsidRPr="006F758D" w:rsidRDefault="00477F4D" w:rsidP="006F758D">
      <w:pPr>
        <w:spacing w:after="240" w:line="360" w:lineRule="auto"/>
        <w:rPr>
          <w:rFonts w:ascii="Arial" w:eastAsia="微软雅黑" w:hAnsi="Arial" w:cs="Arial"/>
        </w:rPr>
      </w:pPr>
      <w:r w:rsidRPr="006F758D">
        <w:rPr>
          <w:rFonts w:ascii="Arial" w:eastAsia="微软雅黑" w:hAnsi="Arial" w:cs="Arial"/>
          <w:b/>
          <w:bCs/>
        </w:rPr>
        <w:t>Affiliation(s)</w:t>
      </w:r>
      <w:r w:rsidRPr="006F758D">
        <w:rPr>
          <w:rFonts w:ascii="Arial" w:eastAsia="微软雅黑" w:hAnsi="Arial" w:cs="Arial"/>
        </w:rPr>
        <w:t>:</w:t>
      </w:r>
      <w:r w:rsidRPr="006F758D">
        <w:rPr>
          <w:rFonts w:ascii="Arial" w:eastAsia="微软雅黑" w:hAnsi="Arial" w:cs="Arial"/>
          <w:u w:val="single"/>
        </w:rPr>
        <w:t xml:space="preserve">                                                                  </w:t>
      </w:r>
    </w:p>
    <w:p w:rsidR="00FE648B" w:rsidRPr="006F758D" w:rsidRDefault="00FE648B" w:rsidP="006F758D">
      <w:pPr>
        <w:spacing w:line="360" w:lineRule="auto"/>
        <w:rPr>
          <w:rFonts w:ascii="Arial" w:eastAsia="微软雅黑" w:hAnsi="Arial" w:cs="Arial"/>
        </w:rPr>
      </w:pPr>
      <w:r w:rsidRPr="006F758D">
        <w:rPr>
          <w:rFonts w:ascii="Arial" w:eastAsia="微软雅黑" w:hAnsi="Arial" w:cs="Arial"/>
        </w:rPr>
        <w:t xml:space="preserve">The author(s) of the above article agree to publish the article in </w:t>
      </w:r>
      <w:r w:rsidRPr="006F758D">
        <w:rPr>
          <w:rFonts w:ascii="Arial" w:eastAsia="微软雅黑" w:hAnsi="Arial" w:cs="Arial"/>
          <w:i/>
          <w:iCs/>
        </w:rPr>
        <w:t>Transactions of Nanjing University of Aeronautics &amp; Astronautics</w:t>
      </w:r>
      <w:r w:rsidRPr="006F758D">
        <w:rPr>
          <w:rFonts w:ascii="Arial" w:eastAsia="微软雅黑" w:hAnsi="Arial" w:cs="Arial"/>
        </w:rPr>
        <w:t xml:space="preserve"> (hereinafter referred to as </w:t>
      </w:r>
      <w:r w:rsidRPr="006F758D">
        <w:rPr>
          <w:rFonts w:ascii="Arial" w:eastAsia="微软雅黑" w:hAnsi="Arial" w:cs="Arial"/>
          <w:i/>
          <w:iCs/>
        </w:rPr>
        <w:t>TNUAA</w:t>
      </w:r>
      <w:r w:rsidRPr="006F758D">
        <w:rPr>
          <w:rFonts w:ascii="Arial" w:eastAsia="微软雅黑" w:hAnsi="Arial" w:cs="Arial"/>
        </w:rPr>
        <w:t xml:space="preserve">), and agree to transfer the copyright of the article (including, but not limited to, the rights of reproduction, distribution, information network dissemination, broadcasting, performance, translation, compilation, adaptation, etc.) to the editorial office of </w:t>
      </w:r>
      <w:r w:rsidRPr="006F758D">
        <w:rPr>
          <w:rFonts w:ascii="Arial" w:eastAsia="微软雅黑" w:hAnsi="Arial" w:cs="Arial"/>
          <w:i/>
          <w:iCs/>
        </w:rPr>
        <w:t>TNUAA</w:t>
      </w:r>
      <w:r w:rsidRPr="006F758D">
        <w:rPr>
          <w:rFonts w:ascii="Arial" w:eastAsia="微软雅黑" w:hAnsi="Arial" w:cs="Arial"/>
        </w:rPr>
        <w:t>. Once the article is published, the copyright belongs to the editorial office of</w:t>
      </w:r>
      <w:r w:rsidR="00F62350" w:rsidRPr="006F758D">
        <w:rPr>
          <w:rFonts w:ascii="Arial" w:eastAsia="微软雅黑" w:hAnsi="Arial" w:cs="Arial"/>
          <w:i/>
          <w:iCs/>
        </w:rPr>
        <w:t xml:space="preserve"> TNUAA</w:t>
      </w:r>
      <w:r w:rsidRPr="006F758D">
        <w:rPr>
          <w:rFonts w:ascii="Arial" w:eastAsia="微软雅黑" w:hAnsi="Arial" w:cs="Arial"/>
        </w:rPr>
        <w:t>. Therefore, the editorial office will have the right to publish and use the article in all forms, including but not limited to:</w:t>
      </w:r>
    </w:p>
    <w:p w:rsidR="00FE648B" w:rsidRPr="006F758D" w:rsidRDefault="00FE648B" w:rsidP="006F758D">
      <w:pPr>
        <w:spacing w:line="360" w:lineRule="auto"/>
        <w:rPr>
          <w:rFonts w:ascii="Arial" w:eastAsia="微软雅黑" w:hAnsi="Arial" w:cs="Arial"/>
        </w:rPr>
      </w:pPr>
      <w:r w:rsidRPr="006F758D">
        <w:rPr>
          <w:rFonts w:ascii="Arial" w:eastAsia="微软雅黑" w:hAnsi="Arial" w:cs="Arial"/>
        </w:rPr>
        <w:t>(1) Electronic publishing, multimedia publishing, online publishing, or any other form of publication of the article.</w:t>
      </w:r>
    </w:p>
    <w:p w:rsidR="00FE648B" w:rsidRPr="006F758D" w:rsidRDefault="00FE648B" w:rsidP="006F758D">
      <w:pPr>
        <w:spacing w:after="240" w:line="360" w:lineRule="auto"/>
        <w:rPr>
          <w:rFonts w:ascii="Arial" w:eastAsia="微软雅黑" w:hAnsi="Arial" w:cs="Arial"/>
        </w:rPr>
      </w:pPr>
      <w:r w:rsidRPr="006F758D">
        <w:rPr>
          <w:rFonts w:ascii="Arial" w:eastAsia="微软雅黑" w:hAnsi="Arial" w:cs="Arial"/>
        </w:rPr>
        <w:t>(2) Licensing the above-mentioned rights to third parties, allowing domestic and international literature retrieval systems and databases to index and collect the article's data, and permitting them to publish the article across various media. When submitting the article to domestic and international databases and retrieval systems (including print, CD-ROM, and online versions), the author's consent will not be sought.</w:t>
      </w:r>
    </w:p>
    <w:p w:rsidR="00FE648B" w:rsidRPr="006F758D" w:rsidRDefault="00FE648B" w:rsidP="006F758D">
      <w:pPr>
        <w:spacing w:after="240" w:line="360" w:lineRule="auto"/>
        <w:rPr>
          <w:rFonts w:ascii="Arial" w:eastAsia="微软雅黑" w:hAnsi="Arial" w:cs="Arial"/>
        </w:rPr>
      </w:pPr>
      <w:r w:rsidRPr="006F758D">
        <w:rPr>
          <w:rFonts w:ascii="Arial" w:eastAsia="微软雅黑" w:hAnsi="Arial" w:cs="Arial"/>
        </w:rPr>
        <w:t>The copyright transfer fee is included in the remuneration paid to the author</w:t>
      </w:r>
      <w:r w:rsidR="008A61E9" w:rsidRPr="006F758D">
        <w:rPr>
          <w:rFonts w:ascii="Arial" w:eastAsia="微软雅黑" w:hAnsi="Arial" w:cs="Arial"/>
        </w:rPr>
        <w:t>(</w:t>
      </w:r>
      <w:r w:rsidRPr="006F758D">
        <w:rPr>
          <w:rFonts w:ascii="Arial" w:eastAsia="微软雅黑" w:hAnsi="Arial" w:cs="Arial"/>
        </w:rPr>
        <w:t>s</w:t>
      </w:r>
      <w:r w:rsidR="008A61E9" w:rsidRPr="006F758D">
        <w:rPr>
          <w:rFonts w:ascii="Arial" w:eastAsia="微软雅黑" w:hAnsi="Arial" w:cs="Arial"/>
        </w:rPr>
        <w:t>)</w:t>
      </w:r>
      <w:r w:rsidRPr="006F758D">
        <w:rPr>
          <w:rFonts w:ascii="Arial" w:eastAsia="微软雅黑" w:hAnsi="Arial" w:cs="Arial"/>
        </w:rPr>
        <w:t xml:space="preserve"> by </w:t>
      </w:r>
      <w:r w:rsidRPr="006F758D">
        <w:rPr>
          <w:rFonts w:ascii="Arial" w:eastAsia="微软雅黑" w:hAnsi="Arial" w:cs="Arial"/>
          <w:i/>
          <w:iCs/>
        </w:rPr>
        <w:t>TNUAA</w:t>
      </w:r>
      <w:r w:rsidRPr="006F758D">
        <w:rPr>
          <w:rFonts w:ascii="Arial" w:eastAsia="微软雅黑" w:hAnsi="Arial" w:cs="Arial"/>
        </w:rPr>
        <w:t xml:space="preserve"> and will not be paid separately.</w:t>
      </w:r>
    </w:p>
    <w:p w:rsidR="00477F4D" w:rsidRPr="006F758D" w:rsidRDefault="003C763D" w:rsidP="006F758D">
      <w:pPr>
        <w:spacing w:after="240" w:line="360" w:lineRule="auto"/>
        <w:rPr>
          <w:rFonts w:ascii="Arial" w:eastAsia="微软雅黑" w:hAnsi="Arial" w:cs="Arial"/>
        </w:rPr>
      </w:pPr>
      <w:r w:rsidRPr="006F758D">
        <w:rPr>
          <w:rFonts w:ascii="Arial" w:eastAsia="微软雅黑" w:hAnsi="Arial" w:cs="Arial"/>
        </w:rPr>
        <w:t>The author(s) agree that upon the publication of the article, third-party users may use the article under the CC BY-NC-ND 4.0 license.</w:t>
      </w:r>
    </w:p>
    <w:p w:rsidR="00DC03D2" w:rsidRPr="006F758D" w:rsidRDefault="00F11B66" w:rsidP="006F758D">
      <w:pPr>
        <w:spacing w:after="240" w:line="360" w:lineRule="auto"/>
        <w:rPr>
          <w:rFonts w:ascii="Arial" w:eastAsia="微软雅黑" w:hAnsi="Arial" w:cs="Arial"/>
        </w:rPr>
      </w:pPr>
      <w:r w:rsidRPr="006F758D">
        <w:rPr>
          <w:rFonts w:ascii="Arial" w:eastAsia="微软雅黑" w:hAnsi="Arial" w:cs="Arial"/>
        </w:rPr>
        <w:t>The editorial office allows the author(s) to use the article under the following circumstances: (1) Reproducing, distributing and using the article under the CC BY-NC-ND 4.0 license, such as using it for non-commercial academic communication, presentations, and lectures. (2) Using the article to apply for patents. (3) Using the article for other activities permitted and approved by the editorial office.</w:t>
      </w:r>
    </w:p>
    <w:p w:rsidR="006013B4" w:rsidRPr="006F758D" w:rsidRDefault="000D3498" w:rsidP="006F758D">
      <w:pPr>
        <w:spacing w:after="240" w:line="360" w:lineRule="auto"/>
        <w:rPr>
          <w:rFonts w:ascii="Arial" w:eastAsia="微软雅黑" w:hAnsi="Arial" w:cs="Arial"/>
        </w:rPr>
      </w:pPr>
      <w:r w:rsidRPr="006F758D">
        <w:rPr>
          <w:rFonts w:ascii="Arial" w:eastAsia="微软雅黑" w:hAnsi="Arial" w:cs="Arial"/>
        </w:rPr>
        <w:t xml:space="preserve">The author(s) solemnly declare that the article is original and that neither the </w:t>
      </w:r>
      <w:r w:rsidR="009F59CA" w:rsidRPr="006F758D">
        <w:rPr>
          <w:rFonts w:ascii="Arial" w:eastAsia="微软雅黑" w:hAnsi="Arial" w:cs="Arial"/>
        </w:rPr>
        <w:t>whole</w:t>
      </w:r>
      <w:r w:rsidRPr="006F758D">
        <w:rPr>
          <w:rFonts w:ascii="Arial" w:eastAsia="微软雅黑" w:hAnsi="Arial" w:cs="Arial"/>
        </w:rPr>
        <w:t xml:space="preserve"> nor any part of </w:t>
      </w:r>
      <w:r w:rsidR="009F59CA" w:rsidRPr="006F758D">
        <w:rPr>
          <w:rFonts w:ascii="Arial" w:eastAsia="微软雅黑" w:hAnsi="Arial" w:cs="Arial"/>
        </w:rPr>
        <w:t>the article</w:t>
      </w:r>
      <w:r w:rsidRPr="006F758D">
        <w:rPr>
          <w:rFonts w:ascii="Arial" w:eastAsia="微软雅黑" w:hAnsi="Arial" w:cs="Arial"/>
        </w:rPr>
        <w:t xml:space="preserve"> has been </w:t>
      </w:r>
      <w:r w:rsidR="008B6116" w:rsidRPr="006F758D">
        <w:rPr>
          <w:rFonts w:ascii="Arial" w:eastAsia="微软雅黑" w:hAnsi="Arial" w:cs="Arial"/>
        </w:rPr>
        <w:t xml:space="preserve">previously </w:t>
      </w:r>
      <w:r w:rsidRPr="006F758D">
        <w:rPr>
          <w:rFonts w:ascii="Arial" w:eastAsia="微软雅黑" w:hAnsi="Arial" w:cs="Arial"/>
        </w:rPr>
        <w:t>published in any form in any other publication. There are no issues of duplicate submission</w:t>
      </w:r>
      <w:r w:rsidR="00F83EE7" w:rsidRPr="006F758D">
        <w:rPr>
          <w:rFonts w:ascii="Arial" w:eastAsia="微软雅黑" w:hAnsi="Arial" w:cs="Arial"/>
        </w:rPr>
        <w:t>s</w:t>
      </w:r>
      <w:r w:rsidRPr="006F758D">
        <w:rPr>
          <w:rFonts w:ascii="Arial" w:eastAsia="微软雅黑" w:hAnsi="Arial" w:cs="Arial"/>
        </w:rPr>
        <w:t xml:space="preserve"> </w:t>
      </w:r>
      <w:r w:rsidR="00F83EE7" w:rsidRPr="006F758D">
        <w:rPr>
          <w:rFonts w:ascii="Arial" w:eastAsia="微软雅黑" w:hAnsi="Arial" w:cs="Arial"/>
        </w:rPr>
        <w:t xml:space="preserve">or </w:t>
      </w:r>
      <w:r w:rsidRPr="006F758D">
        <w:rPr>
          <w:rFonts w:ascii="Arial" w:eastAsia="微软雅黑" w:hAnsi="Arial" w:cs="Arial"/>
        </w:rPr>
        <w:t xml:space="preserve">plagiarism, nor does it contain any content that violates legal regulations or the rights of others. </w:t>
      </w:r>
      <w:r w:rsidR="008B6116" w:rsidRPr="006F758D">
        <w:rPr>
          <w:rFonts w:ascii="Arial" w:eastAsia="微软雅黑" w:hAnsi="Arial" w:cs="Arial"/>
        </w:rPr>
        <w:t>If</w:t>
      </w:r>
      <w:r w:rsidRPr="006F758D">
        <w:rPr>
          <w:rFonts w:ascii="Arial" w:eastAsia="微软雅黑" w:hAnsi="Arial" w:cs="Arial"/>
        </w:rPr>
        <w:t xml:space="preserve"> any of the </w:t>
      </w:r>
      <w:r w:rsidR="008B6116" w:rsidRPr="006F758D">
        <w:rPr>
          <w:rFonts w:ascii="Arial" w:eastAsia="微软雅黑" w:hAnsi="Arial" w:cs="Arial"/>
        </w:rPr>
        <w:t>above</w:t>
      </w:r>
      <w:r w:rsidRPr="006F758D">
        <w:rPr>
          <w:rFonts w:ascii="Arial" w:eastAsia="微软雅黑" w:hAnsi="Arial" w:cs="Arial"/>
        </w:rPr>
        <w:t xml:space="preserve"> issues </w:t>
      </w:r>
      <w:r w:rsidR="008B6116" w:rsidRPr="006F758D">
        <w:rPr>
          <w:rFonts w:ascii="Arial" w:eastAsia="微软雅黑" w:hAnsi="Arial" w:cs="Arial"/>
        </w:rPr>
        <w:t>are</w:t>
      </w:r>
      <w:r w:rsidRPr="006F758D">
        <w:rPr>
          <w:rFonts w:ascii="Arial" w:eastAsia="微软雅黑" w:hAnsi="Arial" w:cs="Arial"/>
        </w:rPr>
        <w:t xml:space="preserve"> discovered, </w:t>
      </w:r>
      <w:r w:rsidR="006013B4" w:rsidRPr="006F758D">
        <w:rPr>
          <w:rFonts w:ascii="Arial" w:eastAsia="微软雅黑" w:hAnsi="Arial" w:cs="Arial"/>
        </w:rPr>
        <w:t>the editorial office has the right to reject the article and</w:t>
      </w:r>
      <w:r w:rsidR="008C2075" w:rsidRPr="006F758D">
        <w:rPr>
          <w:rFonts w:ascii="Arial" w:eastAsia="微软雅黑" w:hAnsi="Arial" w:cs="Arial"/>
        </w:rPr>
        <w:t xml:space="preserve"> take further actions </w:t>
      </w:r>
      <w:r w:rsidR="006013B4" w:rsidRPr="006F758D">
        <w:rPr>
          <w:rFonts w:ascii="Arial" w:eastAsia="微软雅黑" w:hAnsi="Arial" w:cs="Arial"/>
        </w:rPr>
        <w:t>depending on the severity</w:t>
      </w:r>
      <w:r w:rsidR="008C2075" w:rsidRPr="006F758D">
        <w:rPr>
          <w:rFonts w:ascii="Arial" w:eastAsia="微软雅黑" w:hAnsi="Arial" w:cs="Arial"/>
        </w:rPr>
        <w:t xml:space="preserve"> of the issue</w:t>
      </w:r>
      <w:r w:rsidR="006013B4" w:rsidRPr="006F758D">
        <w:rPr>
          <w:rFonts w:ascii="Arial" w:eastAsia="微软雅黑" w:hAnsi="Arial" w:cs="Arial"/>
        </w:rPr>
        <w:t>. These include publicly criticizing the article and author</w:t>
      </w:r>
      <w:r w:rsidR="006F3DDF" w:rsidRPr="006F758D">
        <w:rPr>
          <w:rFonts w:ascii="Arial" w:eastAsia="微软雅黑" w:hAnsi="Arial" w:cs="Arial"/>
        </w:rPr>
        <w:t>(</w:t>
      </w:r>
      <w:r w:rsidR="006013B4" w:rsidRPr="006F758D">
        <w:rPr>
          <w:rFonts w:ascii="Arial" w:eastAsia="微软雅黑" w:hAnsi="Arial" w:cs="Arial"/>
        </w:rPr>
        <w:t>s</w:t>
      </w:r>
      <w:r w:rsidR="006F3DDF" w:rsidRPr="006F758D">
        <w:rPr>
          <w:rFonts w:ascii="Arial" w:eastAsia="微软雅黑" w:hAnsi="Arial" w:cs="Arial"/>
        </w:rPr>
        <w:t>)</w:t>
      </w:r>
      <w:r w:rsidR="006013B4" w:rsidRPr="006F758D">
        <w:rPr>
          <w:rFonts w:ascii="Arial" w:eastAsia="微软雅黑" w:hAnsi="Arial" w:cs="Arial"/>
        </w:rPr>
        <w:t xml:space="preserve"> within the academic and sibling journal community, and notifying relevant institutions to administer serious administrative penalties to the principal authors.</w:t>
      </w:r>
    </w:p>
    <w:p w:rsidR="00DC03D2" w:rsidRPr="006F758D" w:rsidRDefault="000D3498" w:rsidP="006F758D">
      <w:pPr>
        <w:spacing w:after="240" w:line="360" w:lineRule="auto"/>
        <w:rPr>
          <w:rFonts w:ascii="Arial" w:eastAsia="微软雅黑" w:hAnsi="Arial" w:cs="Arial"/>
        </w:rPr>
      </w:pPr>
      <w:r w:rsidRPr="006F758D">
        <w:rPr>
          <w:rFonts w:ascii="Arial" w:eastAsia="微软雅黑" w:hAnsi="Arial" w:cs="Arial"/>
        </w:rPr>
        <w:t xml:space="preserve">If the </w:t>
      </w:r>
      <w:r w:rsidR="003C1DE3" w:rsidRPr="006F758D">
        <w:rPr>
          <w:rFonts w:ascii="Arial" w:eastAsia="微软雅黑" w:hAnsi="Arial" w:cs="Arial"/>
        </w:rPr>
        <w:t>article</w:t>
      </w:r>
      <w:r w:rsidRPr="006F758D">
        <w:rPr>
          <w:rFonts w:ascii="Arial" w:eastAsia="微软雅黑" w:hAnsi="Arial" w:cs="Arial"/>
        </w:rPr>
        <w:t xml:space="preserve"> fails to meet the publication standards of </w:t>
      </w:r>
      <w:r w:rsidR="003C1DE3" w:rsidRPr="006F758D">
        <w:rPr>
          <w:rFonts w:ascii="Arial" w:eastAsia="微软雅黑" w:hAnsi="Arial" w:cs="Arial"/>
          <w:i/>
          <w:iCs/>
        </w:rPr>
        <w:t>TNUAA</w:t>
      </w:r>
      <w:r w:rsidRPr="006F758D">
        <w:rPr>
          <w:rFonts w:ascii="Arial" w:eastAsia="微软雅黑" w:hAnsi="Arial" w:cs="Arial"/>
        </w:rPr>
        <w:t xml:space="preserve"> and cannot be published, this agreement automatically becomes null and void.</w:t>
      </w:r>
    </w:p>
    <w:p w:rsidR="00DC03D2" w:rsidRPr="00CB1702" w:rsidRDefault="00CB1702" w:rsidP="006F758D">
      <w:pPr>
        <w:spacing w:line="360" w:lineRule="auto"/>
        <w:rPr>
          <w:rFonts w:ascii="Arial" w:eastAsia="微软雅黑" w:hAnsi="Arial" w:cs="Arial"/>
          <w:b/>
          <w:bCs/>
        </w:rPr>
      </w:pPr>
      <w:r w:rsidRPr="00CB1702">
        <w:rPr>
          <w:rFonts w:ascii="Arial" w:eastAsia="微软雅黑" w:hAnsi="Arial" w:cs="Arial" w:hint="eastAsia"/>
          <w:b/>
          <w:bCs/>
        </w:rPr>
        <w:t>Signature(s) of the author(s):</w:t>
      </w:r>
    </w:p>
    <w:p w:rsidR="00477F4D" w:rsidRDefault="00477F4D" w:rsidP="006F758D">
      <w:pPr>
        <w:spacing w:line="360" w:lineRule="auto"/>
        <w:rPr>
          <w:rFonts w:ascii="Arial" w:eastAsia="微软雅黑" w:hAnsi="Arial" w:cs="Arial"/>
        </w:rPr>
      </w:pPr>
    </w:p>
    <w:p w:rsidR="00CB1702" w:rsidRDefault="00CB1702" w:rsidP="006F758D">
      <w:pPr>
        <w:spacing w:line="360" w:lineRule="auto"/>
        <w:rPr>
          <w:rFonts w:ascii="Arial" w:eastAsia="微软雅黑" w:hAnsi="Arial" w:cs="Arial"/>
        </w:rPr>
      </w:pPr>
    </w:p>
    <w:p w:rsidR="00F74814" w:rsidRDefault="00F74814" w:rsidP="006F758D">
      <w:pPr>
        <w:spacing w:line="360" w:lineRule="auto"/>
        <w:rPr>
          <w:rFonts w:ascii="Arial" w:eastAsia="微软雅黑" w:hAnsi="Arial" w:cs="Arial"/>
        </w:rPr>
      </w:pPr>
    </w:p>
    <w:p w:rsidR="00F74814" w:rsidRDefault="00F74814" w:rsidP="006F758D">
      <w:pPr>
        <w:spacing w:line="360" w:lineRule="auto"/>
        <w:rPr>
          <w:rFonts w:ascii="Arial" w:eastAsia="微软雅黑" w:hAnsi="Arial" w:cs="Arial"/>
        </w:rPr>
      </w:pPr>
    </w:p>
    <w:p w:rsidR="00F74814" w:rsidRDefault="00F74814" w:rsidP="006F758D">
      <w:pPr>
        <w:spacing w:line="360" w:lineRule="auto"/>
        <w:rPr>
          <w:rFonts w:ascii="Arial" w:eastAsia="微软雅黑" w:hAnsi="Arial" w:cs="Arial"/>
        </w:rPr>
      </w:pPr>
    </w:p>
    <w:p w:rsidR="00CB1702" w:rsidRPr="00F74814" w:rsidRDefault="00CB1702" w:rsidP="00CB1702">
      <w:pPr>
        <w:spacing w:line="360" w:lineRule="auto"/>
        <w:ind w:left="5040" w:firstLine="420"/>
        <w:rPr>
          <w:rFonts w:ascii="Arial" w:eastAsia="微软雅黑" w:hAnsi="Arial" w:cs="Arial"/>
          <w:b/>
          <w:bCs/>
        </w:rPr>
      </w:pPr>
      <w:r w:rsidRPr="00F74814">
        <w:rPr>
          <w:rFonts w:ascii="Arial" w:eastAsia="微软雅黑" w:hAnsi="Arial" w:cs="Arial" w:hint="eastAsia"/>
          <w:b/>
          <w:bCs/>
        </w:rPr>
        <w:t xml:space="preserve">Date:                   </w:t>
      </w:r>
    </w:p>
    <w:p w:rsidR="00CC4A92" w:rsidRPr="00796D91" w:rsidRDefault="00CC4A92" w:rsidP="00796D91">
      <w:pPr>
        <w:spacing w:line="360" w:lineRule="auto"/>
        <w:rPr>
          <w:rFonts w:ascii="Arial" w:eastAsia="微软雅黑" w:hAnsi="Arial" w:cs="Arial"/>
        </w:rPr>
      </w:pPr>
    </w:p>
    <w:sectPr w:rsidR="00CC4A92" w:rsidRPr="00796D91" w:rsidSect="0099248B">
      <w:footerReference w:type="default" r:id="rId6"/>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054E" w:rsidRDefault="0030054E" w:rsidP="0099248B">
      <w:pPr>
        <w:rPr>
          <w:rFonts w:hint="eastAsia"/>
        </w:rPr>
      </w:pPr>
      <w:r>
        <w:separator/>
      </w:r>
    </w:p>
  </w:endnote>
  <w:endnote w:type="continuationSeparator" w:id="0">
    <w:p w:rsidR="0030054E" w:rsidRDefault="0030054E" w:rsidP="009924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993168"/>
      <w:docPartObj>
        <w:docPartGallery w:val="Page Numbers (Bottom of Page)"/>
        <w:docPartUnique/>
      </w:docPartObj>
    </w:sdtPr>
    <w:sdtContent>
      <w:sdt>
        <w:sdtPr>
          <w:id w:val="1728636285"/>
          <w:docPartObj>
            <w:docPartGallery w:val="Page Numbers (Top of Page)"/>
            <w:docPartUnique/>
          </w:docPartObj>
        </w:sdtPr>
        <w:sdtContent>
          <w:p w:rsidR="0099248B" w:rsidRDefault="0099248B">
            <w:pPr>
              <w:pStyle w:val="a5"/>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99248B" w:rsidRDefault="0099248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054E" w:rsidRDefault="0030054E" w:rsidP="0099248B">
      <w:pPr>
        <w:rPr>
          <w:rFonts w:hint="eastAsia"/>
        </w:rPr>
      </w:pPr>
      <w:r>
        <w:separator/>
      </w:r>
    </w:p>
  </w:footnote>
  <w:footnote w:type="continuationSeparator" w:id="0">
    <w:p w:rsidR="0030054E" w:rsidRDefault="0030054E" w:rsidP="0099248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37"/>
    <w:rsid w:val="00014D5C"/>
    <w:rsid w:val="000A0D81"/>
    <w:rsid w:val="000D3498"/>
    <w:rsid w:val="00172573"/>
    <w:rsid w:val="001B7F79"/>
    <w:rsid w:val="001D01E7"/>
    <w:rsid w:val="0030054E"/>
    <w:rsid w:val="003C1DE3"/>
    <w:rsid w:val="003C763D"/>
    <w:rsid w:val="004431DB"/>
    <w:rsid w:val="0045725C"/>
    <w:rsid w:val="00477F4D"/>
    <w:rsid w:val="004B23A4"/>
    <w:rsid w:val="004F1C6C"/>
    <w:rsid w:val="005903A9"/>
    <w:rsid w:val="006013B4"/>
    <w:rsid w:val="006A1DCE"/>
    <w:rsid w:val="006F3DDF"/>
    <w:rsid w:val="006F758D"/>
    <w:rsid w:val="006F7AE3"/>
    <w:rsid w:val="00761BEE"/>
    <w:rsid w:val="00796D91"/>
    <w:rsid w:val="007C6C00"/>
    <w:rsid w:val="007E4A88"/>
    <w:rsid w:val="0080007C"/>
    <w:rsid w:val="008A61E9"/>
    <w:rsid w:val="008B601B"/>
    <w:rsid w:val="008B6116"/>
    <w:rsid w:val="008C2075"/>
    <w:rsid w:val="008E7E63"/>
    <w:rsid w:val="0099248B"/>
    <w:rsid w:val="009E0279"/>
    <w:rsid w:val="009E58D3"/>
    <w:rsid w:val="009F59CA"/>
    <w:rsid w:val="00A34FB2"/>
    <w:rsid w:val="00B94316"/>
    <w:rsid w:val="00C000FB"/>
    <w:rsid w:val="00CB1702"/>
    <w:rsid w:val="00CC4A92"/>
    <w:rsid w:val="00D95666"/>
    <w:rsid w:val="00DC03D2"/>
    <w:rsid w:val="00E345FD"/>
    <w:rsid w:val="00E66943"/>
    <w:rsid w:val="00EC1837"/>
    <w:rsid w:val="00EE765C"/>
    <w:rsid w:val="00F11B66"/>
    <w:rsid w:val="00F62350"/>
    <w:rsid w:val="00F74814"/>
    <w:rsid w:val="00F83EE7"/>
    <w:rsid w:val="00FE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0CABE"/>
  <w15:chartTrackingRefBased/>
  <w15:docId w15:val="{5820E778-191C-4B2D-B0FE-439BF407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48B"/>
    <w:pPr>
      <w:tabs>
        <w:tab w:val="center" w:pos="4153"/>
        <w:tab w:val="right" w:pos="8306"/>
      </w:tabs>
      <w:snapToGrid w:val="0"/>
      <w:jc w:val="center"/>
    </w:pPr>
    <w:rPr>
      <w:sz w:val="18"/>
      <w:szCs w:val="18"/>
    </w:rPr>
  </w:style>
  <w:style w:type="character" w:customStyle="1" w:styleId="a4">
    <w:name w:val="页眉 字符"/>
    <w:basedOn w:val="a0"/>
    <w:link w:val="a3"/>
    <w:uiPriority w:val="99"/>
    <w:rsid w:val="0099248B"/>
    <w:rPr>
      <w:sz w:val="18"/>
      <w:szCs w:val="18"/>
    </w:rPr>
  </w:style>
  <w:style w:type="paragraph" w:styleId="a5">
    <w:name w:val="footer"/>
    <w:basedOn w:val="a"/>
    <w:link w:val="a6"/>
    <w:uiPriority w:val="99"/>
    <w:unhideWhenUsed/>
    <w:rsid w:val="0099248B"/>
    <w:pPr>
      <w:tabs>
        <w:tab w:val="center" w:pos="4153"/>
        <w:tab w:val="right" w:pos="8306"/>
      </w:tabs>
      <w:snapToGrid w:val="0"/>
      <w:jc w:val="left"/>
    </w:pPr>
    <w:rPr>
      <w:sz w:val="18"/>
      <w:szCs w:val="18"/>
    </w:rPr>
  </w:style>
  <w:style w:type="character" w:customStyle="1" w:styleId="a6">
    <w:name w:val="页脚 字符"/>
    <w:basedOn w:val="a0"/>
    <w:link w:val="a5"/>
    <w:uiPriority w:val="99"/>
    <w:rsid w:val="009924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1</cp:revision>
  <dcterms:created xsi:type="dcterms:W3CDTF">2024-07-17T07:51:00Z</dcterms:created>
  <dcterms:modified xsi:type="dcterms:W3CDTF">2024-07-17T07:51:00Z</dcterms:modified>
</cp:coreProperties>
</file>